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ab/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Chesapeake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cooperative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cooperative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work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mutually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agreed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upon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schedule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exchange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helping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barn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cooperative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members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average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decrease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board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fees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up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45%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Alternatively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opt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out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cooperative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select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between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three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different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boarding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packages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including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full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partial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self-care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cooperative (Completed  07/12/23)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Jul 12,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account/file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